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745" w:rsidRPr="00C53745" w:rsidRDefault="00C53745" w:rsidP="00C53745">
      <w:pPr>
        <w:snapToGrid w:val="0"/>
        <w:spacing w:line="312" w:lineRule="auto"/>
        <w:rPr>
          <w:rFonts w:ascii="仿宋" w:eastAsia="仿宋" w:hAnsi="仿宋" w:cs="Times New Roman"/>
          <w:b/>
          <w:sz w:val="24"/>
          <w:szCs w:val="24"/>
        </w:rPr>
      </w:pPr>
      <w:r w:rsidRPr="00C53745">
        <w:rPr>
          <w:rFonts w:ascii="仿宋" w:eastAsia="仿宋" w:hAnsi="仿宋" w:cs="Times New Roman"/>
          <w:b/>
          <w:bCs/>
          <w:sz w:val="24"/>
        </w:rPr>
        <w:t>报告人：</w:t>
      </w:r>
      <w:r w:rsidRPr="00C53745">
        <w:rPr>
          <w:rFonts w:ascii="仿宋" w:eastAsia="仿宋" w:hAnsi="仿宋" w:cs="Times New Roman" w:hint="eastAsia"/>
          <w:b/>
          <w:bCs/>
          <w:sz w:val="24"/>
        </w:rPr>
        <w:t xml:space="preserve"> </w:t>
      </w:r>
      <w:r w:rsidRPr="00C53745">
        <w:rPr>
          <w:rFonts w:ascii="仿宋" w:eastAsia="仿宋" w:hAnsi="仿宋" w:cs="Times New Roman"/>
          <w:b/>
          <w:bCs/>
          <w:sz w:val="24"/>
        </w:rPr>
        <w:t xml:space="preserve"> </w:t>
      </w:r>
      <w:r w:rsidRPr="00C53745">
        <w:rPr>
          <w:rFonts w:ascii="仿宋" w:eastAsia="仿宋" w:hAnsi="仿宋" w:cs="Times New Roman" w:hint="eastAsia"/>
          <w:b/>
          <w:bCs/>
          <w:sz w:val="24"/>
        </w:rPr>
        <w:t>黎书华 教授</w:t>
      </w:r>
    </w:p>
    <w:p w:rsidR="00045355" w:rsidRPr="00C53745" w:rsidRDefault="00C53745" w:rsidP="00045355">
      <w:pPr>
        <w:snapToGrid w:val="0"/>
        <w:spacing w:line="312" w:lineRule="auto"/>
        <w:rPr>
          <w:rFonts w:ascii="黑体" w:eastAsia="黑体" w:hAnsi="黑体"/>
          <w:b/>
          <w:sz w:val="24"/>
          <w:szCs w:val="24"/>
        </w:rPr>
      </w:pPr>
      <w:r w:rsidRPr="00C53745">
        <w:rPr>
          <w:rFonts w:ascii="仿宋" w:eastAsia="仿宋" w:hAnsi="仿宋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0</wp:posOffset>
            </wp:positionV>
            <wp:extent cx="1068395" cy="1538677"/>
            <wp:effectExtent l="0" t="0" r="0" b="4445"/>
            <wp:wrapSquare wrapText="bothSides"/>
            <wp:docPr id="1" name="图片 1" descr="C:\Users\del\AppData\Local\Temp\A62I292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\AppData\Local\Temp\A62I2926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395" cy="1538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5355" w:rsidRPr="00C53745">
        <w:rPr>
          <w:rFonts w:ascii="仿宋" w:eastAsia="仿宋" w:hAnsi="仿宋" w:cs="Times New Roman"/>
          <w:b/>
          <w:bCs/>
          <w:sz w:val="24"/>
        </w:rPr>
        <w:t>报告题目：</w:t>
      </w:r>
      <w:r w:rsidR="00045355" w:rsidRPr="00C53745">
        <w:rPr>
          <w:rFonts w:ascii="仿宋" w:eastAsia="仿宋" w:hAnsi="仿宋" w:hint="eastAsia"/>
          <w:b/>
          <w:bCs/>
          <w:sz w:val="24"/>
          <w:szCs w:val="24"/>
        </w:rPr>
        <w:t>复杂化学体系的量子化学方法及应用</w:t>
      </w:r>
    </w:p>
    <w:p w:rsidR="00045355" w:rsidRDefault="00045355" w:rsidP="00045355">
      <w:pPr>
        <w:snapToGrid w:val="0"/>
        <w:spacing w:line="312" w:lineRule="auto"/>
        <w:jc w:val="center"/>
        <w:rPr>
          <w:rFonts w:ascii="Times New Roman" w:hAnsi="Times New Roman" w:cs="Times New Roman"/>
          <w:bCs/>
          <w:sz w:val="24"/>
        </w:rPr>
      </w:pPr>
    </w:p>
    <w:p w:rsidR="00045355" w:rsidRPr="00C53745" w:rsidRDefault="00C53745" w:rsidP="00C53745">
      <w:pPr>
        <w:snapToGrid w:val="0"/>
        <w:spacing w:line="312" w:lineRule="auto"/>
        <w:jc w:val="left"/>
        <w:rPr>
          <w:rFonts w:ascii="仿宋" w:eastAsia="仿宋" w:hAnsi="仿宋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br w:type="textWrapping" w:clear="all"/>
      </w:r>
      <w:r w:rsidR="00045355" w:rsidRPr="00C53745">
        <w:rPr>
          <w:rFonts w:ascii="仿宋" w:eastAsia="仿宋" w:hAnsi="仿宋" w:cs="Times New Roman"/>
          <w:b/>
          <w:bCs/>
          <w:sz w:val="24"/>
        </w:rPr>
        <w:t>简介</w:t>
      </w:r>
      <w:r w:rsidR="00045355" w:rsidRPr="00C53745">
        <w:rPr>
          <w:rFonts w:ascii="仿宋" w:eastAsia="仿宋" w:hAnsi="仿宋" w:cs="Times New Roman" w:hint="eastAsia"/>
          <w:bCs/>
          <w:sz w:val="24"/>
        </w:rPr>
        <w:t>：</w:t>
      </w:r>
    </w:p>
    <w:p w:rsidR="00045355" w:rsidRPr="00C53745" w:rsidRDefault="00045355" w:rsidP="00045355">
      <w:pPr>
        <w:spacing w:afterLines="50" w:after="156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53745">
        <w:rPr>
          <w:rFonts w:ascii="仿宋" w:eastAsia="仿宋" w:hAnsi="仿宋" w:hint="eastAsia"/>
          <w:sz w:val="24"/>
          <w:szCs w:val="24"/>
        </w:rPr>
        <w:t>黎书华，南京大学化学化工学院教授，博士生导师。</w:t>
      </w:r>
      <w:r w:rsidR="00C53745" w:rsidRPr="00C53745">
        <w:rPr>
          <w:rFonts w:ascii="仿宋" w:eastAsia="仿宋" w:hAnsi="仿宋" w:hint="eastAsia"/>
          <w:sz w:val="24"/>
          <w:szCs w:val="24"/>
        </w:rPr>
        <w:t>现</w:t>
      </w:r>
      <w:r w:rsidRPr="00C53745">
        <w:rPr>
          <w:rFonts w:ascii="仿宋" w:eastAsia="仿宋" w:hAnsi="仿宋"/>
          <w:sz w:val="24"/>
          <w:szCs w:val="24"/>
        </w:rPr>
        <w:t>担任化学化工学院院长。主要研究领域为复杂体系量子化学方法的发展</w:t>
      </w:r>
      <w:r w:rsidRPr="00C53745">
        <w:rPr>
          <w:rFonts w:ascii="仿宋" w:eastAsia="仿宋" w:hAnsi="仿宋" w:hint="eastAsia"/>
          <w:sz w:val="24"/>
          <w:szCs w:val="24"/>
        </w:rPr>
        <w:t>、</w:t>
      </w:r>
      <w:r w:rsidRPr="00C53745">
        <w:rPr>
          <w:rFonts w:ascii="仿宋" w:eastAsia="仿宋" w:hAnsi="仿宋"/>
          <w:sz w:val="24"/>
          <w:szCs w:val="24"/>
        </w:rPr>
        <w:t>化学反应的</w:t>
      </w:r>
      <w:r w:rsidR="00C53745" w:rsidRPr="00C53745">
        <w:rPr>
          <w:rFonts w:ascii="仿宋" w:eastAsia="仿宋" w:hAnsi="仿宋" w:hint="eastAsia"/>
          <w:sz w:val="24"/>
          <w:szCs w:val="24"/>
        </w:rPr>
        <w:t>机理研究和</w:t>
      </w:r>
      <w:r w:rsidRPr="00C53745">
        <w:rPr>
          <w:rFonts w:ascii="仿宋" w:eastAsia="仿宋" w:hAnsi="仿宋"/>
          <w:sz w:val="24"/>
          <w:szCs w:val="24"/>
        </w:rPr>
        <w:t>计算设计。</w:t>
      </w:r>
      <w:r w:rsidR="00EB1896">
        <w:rPr>
          <w:rFonts w:ascii="仿宋" w:eastAsia="仿宋" w:hAnsi="仿宋" w:hint="eastAsia"/>
          <w:sz w:val="24"/>
          <w:szCs w:val="24"/>
        </w:rPr>
        <w:t>在大分子量子化学计算</w:t>
      </w:r>
      <w:r w:rsidR="006B67A2">
        <w:rPr>
          <w:rFonts w:ascii="仿宋" w:eastAsia="仿宋" w:hAnsi="仿宋" w:hint="eastAsia"/>
          <w:sz w:val="24"/>
          <w:szCs w:val="24"/>
        </w:rPr>
        <w:t>方法</w:t>
      </w:r>
      <w:r w:rsidR="00EB1896">
        <w:rPr>
          <w:rFonts w:ascii="仿宋" w:eastAsia="仿宋" w:hAnsi="仿宋" w:hint="eastAsia"/>
          <w:sz w:val="24"/>
          <w:szCs w:val="24"/>
        </w:rPr>
        <w:t>方面的工作</w:t>
      </w:r>
      <w:r w:rsidR="006B67A2">
        <w:rPr>
          <w:rFonts w:ascii="仿宋" w:eastAsia="仿宋" w:hAnsi="仿宋" w:hint="eastAsia"/>
          <w:sz w:val="24"/>
          <w:szCs w:val="24"/>
        </w:rPr>
        <w:t>获得</w:t>
      </w:r>
      <w:r w:rsidR="00EB1896" w:rsidRPr="00C53745">
        <w:rPr>
          <w:rFonts w:ascii="仿宋" w:eastAsia="仿宋" w:hAnsi="仿宋"/>
          <w:sz w:val="24"/>
          <w:szCs w:val="24"/>
        </w:rPr>
        <w:t>2019年教育部自然科学奖一等奖。</w:t>
      </w:r>
      <w:r w:rsidR="00EB1896">
        <w:rPr>
          <w:rFonts w:ascii="仿宋" w:eastAsia="仿宋" w:hAnsi="仿宋" w:hint="eastAsia"/>
          <w:sz w:val="24"/>
          <w:szCs w:val="24"/>
        </w:rPr>
        <w:t>曾</w:t>
      </w:r>
      <w:r w:rsidRPr="00C53745">
        <w:rPr>
          <w:rFonts w:ascii="仿宋" w:eastAsia="仿宋" w:hAnsi="仿宋"/>
          <w:sz w:val="24"/>
          <w:szCs w:val="24"/>
        </w:rPr>
        <w:t>获国家杰出青年科学基金资助</w:t>
      </w:r>
      <w:r w:rsidR="00EB1896">
        <w:rPr>
          <w:rFonts w:ascii="仿宋" w:eastAsia="仿宋" w:hAnsi="仿宋" w:hint="eastAsia"/>
          <w:sz w:val="24"/>
          <w:szCs w:val="24"/>
        </w:rPr>
        <w:t>（2</w:t>
      </w:r>
      <w:r w:rsidR="00EB1896">
        <w:rPr>
          <w:rFonts w:ascii="仿宋" w:eastAsia="仿宋" w:hAnsi="仿宋"/>
          <w:sz w:val="24"/>
          <w:szCs w:val="24"/>
        </w:rPr>
        <w:t>006</w:t>
      </w:r>
      <w:r w:rsidR="00EB1896">
        <w:rPr>
          <w:rFonts w:ascii="仿宋" w:eastAsia="仿宋" w:hAnsi="仿宋" w:hint="eastAsia"/>
          <w:sz w:val="24"/>
          <w:szCs w:val="24"/>
        </w:rPr>
        <w:t>），入选</w:t>
      </w:r>
      <w:r w:rsidR="00EB1896" w:rsidRPr="00C53745">
        <w:rPr>
          <w:rFonts w:ascii="仿宋" w:eastAsia="仿宋" w:hAnsi="仿宋"/>
          <w:sz w:val="24"/>
          <w:szCs w:val="24"/>
        </w:rPr>
        <w:t>教育部“长江学者”特聘教授</w:t>
      </w:r>
      <w:r w:rsidR="00EB1896">
        <w:rPr>
          <w:rFonts w:ascii="仿宋" w:eastAsia="仿宋" w:hAnsi="仿宋" w:hint="eastAsia"/>
          <w:sz w:val="24"/>
          <w:szCs w:val="24"/>
        </w:rPr>
        <w:t>（2</w:t>
      </w:r>
      <w:r w:rsidR="00EB1896">
        <w:rPr>
          <w:rFonts w:ascii="仿宋" w:eastAsia="仿宋" w:hAnsi="仿宋"/>
          <w:sz w:val="24"/>
          <w:szCs w:val="24"/>
        </w:rPr>
        <w:t>009</w:t>
      </w:r>
      <w:r w:rsidR="00EB1896">
        <w:rPr>
          <w:rFonts w:ascii="仿宋" w:eastAsia="仿宋" w:hAnsi="仿宋" w:hint="eastAsia"/>
          <w:sz w:val="24"/>
          <w:szCs w:val="24"/>
        </w:rPr>
        <w:t>）、</w:t>
      </w:r>
      <w:r w:rsidR="00EB1896" w:rsidRPr="00C53745">
        <w:rPr>
          <w:rFonts w:ascii="仿宋" w:eastAsia="仿宋" w:hAnsi="仿宋"/>
          <w:sz w:val="24"/>
          <w:szCs w:val="24"/>
        </w:rPr>
        <w:t>“万人计划”科技领军人才</w:t>
      </w:r>
      <w:r w:rsidR="00EB1896">
        <w:rPr>
          <w:rFonts w:ascii="仿宋" w:eastAsia="仿宋" w:hAnsi="仿宋" w:hint="eastAsia"/>
          <w:sz w:val="24"/>
          <w:szCs w:val="24"/>
        </w:rPr>
        <w:t>（2</w:t>
      </w:r>
      <w:r w:rsidR="00EB1896">
        <w:rPr>
          <w:rFonts w:ascii="仿宋" w:eastAsia="仿宋" w:hAnsi="仿宋"/>
          <w:sz w:val="24"/>
          <w:szCs w:val="24"/>
        </w:rPr>
        <w:t>019</w:t>
      </w:r>
      <w:r w:rsidR="00EB1896">
        <w:rPr>
          <w:rFonts w:ascii="仿宋" w:eastAsia="仿宋" w:hAnsi="仿宋" w:hint="eastAsia"/>
          <w:sz w:val="24"/>
          <w:szCs w:val="24"/>
        </w:rPr>
        <w:t>），获得</w:t>
      </w:r>
      <w:r w:rsidRPr="00C53745">
        <w:rPr>
          <w:rFonts w:ascii="仿宋" w:eastAsia="仿宋" w:hAnsi="仿宋"/>
          <w:sz w:val="24"/>
          <w:szCs w:val="24"/>
        </w:rPr>
        <w:t>亚太理论与计算化学协会Pople奖</w:t>
      </w:r>
      <w:r w:rsidR="00EB1896">
        <w:rPr>
          <w:rFonts w:ascii="仿宋" w:eastAsia="仿宋" w:hAnsi="仿宋" w:hint="eastAsia"/>
          <w:sz w:val="24"/>
          <w:szCs w:val="24"/>
        </w:rPr>
        <w:t>（2</w:t>
      </w:r>
      <w:r w:rsidR="00EB1896">
        <w:rPr>
          <w:rFonts w:ascii="仿宋" w:eastAsia="仿宋" w:hAnsi="仿宋"/>
          <w:sz w:val="24"/>
          <w:szCs w:val="24"/>
        </w:rPr>
        <w:t>008</w:t>
      </w:r>
      <w:r w:rsidR="00EB1896">
        <w:rPr>
          <w:rFonts w:ascii="仿宋" w:eastAsia="仿宋" w:hAnsi="仿宋" w:hint="eastAsia"/>
          <w:sz w:val="24"/>
          <w:szCs w:val="24"/>
        </w:rPr>
        <w:t>）、</w:t>
      </w:r>
      <w:r w:rsidRPr="00C53745">
        <w:rPr>
          <w:rFonts w:ascii="仿宋" w:eastAsia="仿宋" w:hAnsi="仿宋"/>
          <w:sz w:val="24"/>
          <w:szCs w:val="24"/>
        </w:rPr>
        <w:t>第十一届中国青年科技奖和第二届中国化学会-英国化学会青年化学奖</w:t>
      </w:r>
      <w:r w:rsidR="00EB1896">
        <w:rPr>
          <w:rFonts w:ascii="仿宋" w:eastAsia="仿宋" w:hAnsi="仿宋" w:hint="eastAsia"/>
          <w:sz w:val="24"/>
          <w:szCs w:val="24"/>
        </w:rPr>
        <w:t>（2</w:t>
      </w:r>
      <w:r w:rsidR="00EB1896">
        <w:rPr>
          <w:rFonts w:ascii="仿宋" w:eastAsia="仿宋" w:hAnsi="仿宋"/>
          <w:sz w:val="24"/>
          <w:szCs w:val="24"/>
        </w:rPr>
        <w:t>009</w:t>
      </w:r>
      <w:r w:rsidR="00EB1896">
        <w:rPr>
          <w:rFonts w:ascii="仿宋" w:eastAsia="仿宋" w:hAnsi="仿宋" w:hint="eastAsia"/>
          <w:sz w:val="24"/>
          <w:szCs w:val="24"/>
        </w:rPr>
        <w:t>）等</w:t>
      </w:r>
      <w:r w:rsidRPr="00C53745">
        <w:rPr>
          <w:rFonts w:ascii="仿宋" w:eastAsia="仿宋" w:hAnsi="仿宋"/>
          <w:sz w:val="24"/>
          <w:szCs w:val="24"/>
        </w:rPr>
        <w:t>。2017年，</w:t>
      </w:r>
      <w:r w:rsidR="00EB1896">
        <w:rPr>
          <w:rFonts w:ascii="仿宋" w:eastAsia="仿宋" w:hAnsi="仿宋" w:hint="eastAsia"/>
          <w:sz w:val="24"/>
          <w:szCs w:val="24"/>
        </w:rPr>
        <w:t>入</w:t>
      </w:r>
      <w:r w:rsidRPr="00C53745">
        <w:rPr>
          <w:rFonts w:ascii="仿宋" w:eastAsia="仿宋" w:hAnsi="仿宋"/>
          <w:sz w:val="24"/>
          <w:szCs w:val="24"/>
        </w:rPr>
        <w:t>选为国际量子分子科学院院士。2020年入选中国化学会会士。</w:t>
      </w:r>
      <w:r w:rsidR="00C53745" w:rsidRPr="00C53745">
        <w:rPr>
          <w:rFonts w:ascii="仿宋" w:eastAsia="仿宋" w:hAnsi="仿宋" w:hint="eastAsia"/>
          <w:sz w:val="24"/>
          <w:szCs w:val="24"/>
        </w:rPr>
        <w:t>2</w:t>
      </w:r>
      <w:r w:rsidR="00C53745" w:rsidRPr="00C53745">
        <w:rPr>
          <w:rFonts w:ascii="仿宋" w:eastAsia="仿宋" w:hAnsi="仿宋"/>
          <w:sz w:val="24"/>
          <w:szCs w:val="24"/>
        </w:rPr>
        <w:t>022</w:t>
      </w:r>
      <w:r w:rsidR="00C53745" w:rsidRPr="00C53745">
        <w:rPr>
          <w:rFonts w:ascii="仿宋" w:eastAsia="仿宋" w:hAnsi="仿宋" w:hint="eastAsia"/>
          <w:sz w:val="24"/>
          <w:szCs w:val="24"/>
        </w:rPr>
        <w:t>年入选新基石研究员。</w:t>
      </w:r>
      <w:r w:rsidRPr="00C53745">
        <w:rPr>
          <w:rFonts w:ascii="仿宋" w:eastAsia="仿宋" w:hAnsi="仿宋"/>
          <w:sz w:val="24"/>
          <w:szCs w:val="24"/>
        </w:rPr>
        <w:t>目前担任中国化学会、世界理论与计算化学家协会、亚太地区理论与计算化学家协会、国际理论化学物理协会等的理事，并担任《Molecular Physics》，《Electronic Structure》，《化学进展》编委。</w:t>
      </w:r>
    </w:p>
    <w:p w:rsidR="00045355" w:rsidRPr="00C53745" w:rsidRDefault="00045355" w:rsidP="00045355">
      <w:pPr>
        <w:rPr>
          <w:rFonts w:ascii="仿宋" w:eastAsia="仿宋" w:hAnsi="仿宋"/>
          <w:sz w:val="24"/>
          <w:szCs w:val="24"/>
        </w:rPr>
      </w:pPr>
      <w:r w:rsidRPr="00C53745">
        <w:rPr>
          <w:rFonts w:ascii="仿宋" w:eastAsia="仿宋" w:hAnsi="仿宋" w:hint="eastAsia"/>
          <w:b/>
          <w:sz w:val="24"/>
          <w:szCs w:val="24"/>
        </w:rPr>
        <w:t>报告摘要</w:t>
      </w:r>
      <w:r w:rsidRPr="00C53745">
        <w:rPr>
          <w:rFonts w:ascii="仿宋" w:eastAsia="仿宋" w:hAnsi="仿宋" w:hint="eastAsia"/>
          <w:sz w:val="24"/>
          <w:szCs w:val="24"/>
        </w:rPr>
        <w:t>：</w:t>
      </w:r>
    </w:p>
    <w:p w:rsidR="004268C0" w:rsidRPr="00C53745" w:rsidRDefault="000F6B28" w:rsidP="00C53745">
      <w:pPr>
        <w:pStyle w:val="a4"/>
        <w:adjustRightInd w:val="0"/>
        <w:snapToGrid w:val="0"/>
        <w:spacing w:line="360" w:lineRule="auto"/>
        <w:ind w:firstLine="480"/>
        <w:rPr>
          <w:rFonts w:ascii="仿宋" w:eastAsia="仿宋" w:hAnsi="仿宋"/>
          <w:sz w:val="24"/>
          <w:szCs w:val="24"/>
          <w:lang w:eastAsia="zh-CN"/>
        </w:rPr>
      </w:pPr>
      <w:r w:rsidRPr="00C53745">
        <w:rPr>
          <w:rFonts w:ascii="仿宋" w:eastAsia="仿宋" w:hAnsi="仿宋" w:hint="eastAsia"/>
          <w:sz w:val="24"/>
          <w:szCs w:val="24"/>
          <w:lang w:eastAsia="zh-CN"/>
        </w:rPr>
        <w:t>本</w:t>
      </w:r>
      <w:r w:rsidR="004268C0" w:rsidRPr="00C53745">
        <w:rPr>
          <w:rFonts w:ascii="仿宋" w:eastAsia="仿宋" w:hAnsi="仿宋" w:hint="eastAsia"/>
          <w:sz w:val="24"/>
          <w:szCs w:val="24"/>
          <w:lang w:eastAsia="zh-CN"/>
        </w:rPr>
        <w:t>报告将简要介绍我们在发展复杂</w:t>
      </w:r>
      <w:r w:rsidR="004268C0" w:rsidRPr="00C53745">
        <w:rPr>
          <w:rFonts w:ascii="仿宋" w:eastAsia="仿宋" w:hAnsi="仿宋" w:hint="eastAsia"/>
          <w:sz w:val="24"/>
          <w:szCs w:val="24"/>
          <w:lang w:eastAsia="zh-CN"/>
        </w:rPr>
        <w:t>化学</w:t>
      </w:r>
      <w:r w:rsidR="004268C0" w:rsidRPr="00C53745">
        <w:rPr>
          <w:rFonts w:ascii="仿宋" w:eastAsia="仿宋" w:hAnsi="仿宋" w:hint="eastAsia"/>
          <w:sz w:val="24"/>
          <w:szCs w:val="24"/>
          <w:lang w:eastAsia="zh-CN"/>
        </w:rPr>
        <w:t>体系量子化学方法方面的主要进展。</w:t>
      </w:r>
      <w:r w:rsidR="004268C0" w:rsidRPr="00C53745">
        <w:rPr>
          <w:rFonts w:ascii="仿宋" w:eastAsia="仿宋" w:hAnsi="仿宋" w:hint="eastAsia"/>
          <w:sz w:val="24"/>
          <w:szCs w:val="24"/>
          <w:lang w:eastAsia="zh-CN"/>
        </w:rPr>
        <w:t>传统</w:t>
      </w:r>
      <w:r w:rsidR="004268C0" w:rsidRPr="00C53745">
        <w:rPr>
          <w:rFonts w:ascii="仿宋" w:eastAsia="仿宋" w:hAnsi="仿宋" w:hint="eastAsia"/>
          <w:sz w:val="24"/>
          <w:szCs w:val="24"/>
          <w:lang w:eastAsia="zh-CN"/>
        </w:rPr>
        <w:t>量子化学计算方法对中小分子</w:t>
      </w:r>
      <w:r w:rsidRPr="00C53745">
        <w:rPr>
          <w:rFonts w:ascii="仿宋" w:eastAsia="仿宋" w:hAnsi="仿宋" w:hint="eastAsia"/>
          <w:sz w:val="24"/>
          <w:szCs w:val="24"/>
          <w:lang w:eastAsia="zh-CN"/>
        </w:rPr>
        <w:t>体系</w:t>
      </w:r>
      <w:r w:rsidR="004268C0" w:rsidRPr="00C53745">
        <w:rPr>
          <w:rFonts w:ascii="仿宋" w:eastAsia="仿宋" w:hAnsi="仿宋" w:hint="eastAsia"/>
          <w:sz w:val="24"/>
          <w:szCs w:val="24"/>
          <w:lang w:eastAsia="zh-CN"/>
        </w:rPr>
        <w:t>取得了巨大的成功。但随体系增大，</w:t>
      </w:r>
      <w:r w:rsidRPr="00C53745">
        <w:rPr>
          <w:rFonts w:ascii="仿宋" w:eastAsia="仿宋" w:hAnsi="仿宋" w:hint="eastAsia"/>
          <w:sz w:val="24"/>
          <w:szCs w:val="24"/>
          <w:lang w:eastAsia="zh-CN"/>
        </w:rPr>
        <w:t>其</w:t>
      </w:r>
      <w:r w:rsidR="004268C0" w:rsidRPr="00C53745">
        <w:rPr>
          <w:rFonts w:ascii="仿宋" w:eastAsia="仿宋" w:hAnsi="仿宋" w:hint="eastAsia"/>
          <w:sz w:val="24"/>
          <w:szCs w:val="24"/>
          <w:lang w:eastAsia="zh-CN"/>
        </w:rPr>
        <w:t>计算量呈指数增长，因而难于应用于生物分子、超分子等复杂体系。我们发展了两类可实现计算量随体系</w:t>
      </w:r>
      <w:r w:rsidR="004268C0" w:rsidRPr="00C53745">
        <w:rPr>
          <w:rFonts w:ascii="仿宋" w:eastAsia="仿宋" w:hAnsi="仿宋" w:hint="eastAsia"/>
          <w:sz w:val="24"/>
          <w:szCs w:val="24"/>
          <w:lang w:eastAsia="zh-CN"/>
        </w:rPr>
        <w:t>大小</w:t>
      </w:r>
      <w:r w:rsidR="004268C0" w:rsidRPr="00C53745">
        <w:rPr>
          <w:rFonts w:ascii="仿宋" w:eastAsia="仿宋" w:hAnsi="仿宋" w:hint="eastAsia"/>
          <w:sz w:val="24"/>
          <w:szCs w:val="24"/>
          <w:lang w:eastAsia="zh-CN"/>
        </w:rPr>
        <w:t>仅线性增加的高效计算方法，将精确量子化学计算拓展至数千原子及以上的分子体系，计算其结构、稳定性、振动光谱和其它性质。同时，将两类方法拓展至周期性的凝聚相体系，实现了波函数</w:t>
      </w:r>
      <w:r w:rsidR="004268C0" w:rsidRPr="00C53745">
        <w:rPr>
          <w:rFonts w:ascii="仿宋" w:eastAsia="仿宋" w:hAnsi="仿宋" w:hint="eastAsia"/>
          <w:sz w:val="24"/>
          <w:szCs w:val="24"/>
          <w:lang w:eastAsia="zh-CN"/>
        </w:rPr>
        <w:t>电子</w:t>
      </w:r>
      <w:r w:rsidR="004268C0" w:rsidRPr="00C53745">
        <w:rPr>
          <w:rFonts w:ascii="仿宋" w:eastAsia="仿宋" w:hAnsi="仿宋" w:hint="eastAsia"/>
          <w:sz w:val="24"/>
          <w:szCs w:val="24"/>
          <w:lang w:eastAsia="zh-CN"/>
        </w:rPr>
        <w:t>相关方法</w:t>
      </w:r>
      <w:r w:rsidR="004268C0" w:rsidRPr="00C53745">
        <w:rPr>
          <w:rFonts w:ascii="仿宋" w:eastAsia="仿宋" w:hAnsi="仿宋" w:hint="eastAsia"/>
          <w:sz w:val="24"/>
          <w:szCs w:val="24"/>
          <w:lang w:eastAsia="zh-CN"/>
        </w:rPr>
        <w:t>的常规</w:t>
      </w:r>
      <w:r w:rsidR="004268C0" w:rsidRPr="00C53745">
        <w:rPr>
          <w:rFonts w:ascii="仿宋" w:eastAsia="仿宋" w:hAnsi="仿宋" w:hint="eastAsia"/>
          <w:sz w:val="24"/>
          <w:szCs w:val="24"/>
          <w:lang w:eastAsia="zh-CN"/>
        </w:rPr>
        <w:t>计算。对过渡金属化合物</w:t>
      </w:r>
      <w:r w:rsidR="004268C0" w:rsidRPr="00C53745">
        <w:rPr>
          <w:rFonts w:ascii="仿宋" w:eastAsia="仿宋" w:hAnsi="仿宋" w:hint="eastAsia"/>
          <w:sz w:val="24"/>
          <w:szCs w:val="24"/>
          <w:lang w:eastAsia="zh-CN"/>
        </w:rPr>
        <w:t>、多自由基</w:t>
      </w:r>
      <w:r w:rsidR="004268C0" w:rsidRPr="00C53745">
        <w:rPr>
          <w:rFonts w:ascii="仿宋" w:eastAsia="仿宋" w:hAnsi="仿宋" w:hint="eastAsia"/>
          <w:sz w:val="24"/>
          <w:szCs w:val="24"/>
          <w:lang w:eastAsia="zh-CN"/>
        </w:rPr>
        <w:t>等强关联体系，我们提出了基于推广的价键波函数为参考态的块相关耦合簇方法，实现了对主流的多参考</w:t>
      </w:r>
      <w:r w:rsidRPr="00C53745">
        <w:rPr>
          <w:rFonts w:ascii="仿宋" w:eastAsia="仿宋" w:hAnsi="仿宋" w:hint="eastAsia"/>
          <w:sz w:val="24"/>
          <w:szCs w:val="24"/>
          <w:lang w:eastAsia="zh-CN"/>
        </w:rPr>
        <w:t>态</w:t>
      </w:r>
      <w:r w:rsidR="004268C0" w:rsidRPr="00C53745">
        <w:rPr>
          <w:rFonts w:ascii="仿宋" w:eastAsia="仿宋" w:hAnsi="仿宋" w:hint="eastAsia"/>
          <w:sz w:val="24"/>
          <w:szCs w:val="24"/>
          <w:lang w:eastAsia="zh-CN"/>
        </w:rPr>
        <w:t>量子化学方法的超越，为强关联体系的</w:t>
      </w:r>
      <w:r w:rsidRPr="00C53745">
        <w:rPr>
          <w:rFonts w:ascii="仿宋" w:eastAsia="仿宋" w:hAnsi="仿宋" w:hint="eastAsia"/>
          <w:sz w:val="24"/>
          <w:szCs w:val="24"/>
          <w:lang w:eastAsia="zh-CN"/>
        </w:rPr>
        <w:t>量子化学</w:t>
      </w:r>
      <w:r w:rsidR="004268C0" w:rsidRPr="00C53745">
        <w:rPr>
          <w:rFonts w:ascii="仿宋" w:eastAsia="仿宋" w:hAnsi="仿宋" w:hint="eastAsia"/>
          <w:sz w:val="24"/>
          <w:szCs w:val="24"/>
          <w:lang w:eastAsia="zh-CN"/>
        </w:rPr>
        <w:t>计算提供了一种高效的计算方法。</w:t>
      </w:r>
    </w:p>
    <w:p w:rsidR="00FA6773" w:rsidRPr="00045355" w:rsidRDefault="00FA6773">
      <w:bookmarkStart w:id="0" w:name="_GoBack"/>
      <w:bookmarkEnd w:id="0"/>
    </w:p>
    <w:sectPr w:rsidR="00FA6773" w:rsidRPr="00045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55"/>
    <w:rsid w:val="00045355"/>
    <w:rsid w:val="000F6B28"/>
    <w:rsid w:val="002931A6"/>
    <w:rsid w:val="004268C0"/>
    <w:rsid w:val="006B67A2"/>
    <w:rsid w:val="00706FB2"/>
    <w:rsid w:val="00B74BED"/>
    <w:rsid w:val="00C53745"/>
    <w:rsid w:val="00EB1896"/>
    <w:rsid w:val="00FA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2A5CE"/>
  <w15:chartTrackingRefBased/>
  <w15:docId w15:val="{E2890C87-CC0C-4D0C-B15B-49308BD4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35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045355"/>
    <w:pPr>
      <w:widowControl/>
    </w:pPr>
    <w:rPr>
      <w:rFonts w:ascii="Cambria" w:eastAsia="宋体" w:hAnsi="Cambria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453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4">
    <w:name w:val="*论文正文*"/>
    <w:basedOn w:val="a"/>
    <w:rsid w:val="004268C0"/>
    <w:pPr>
      <w:widowControl/>
      <w:spacing w:line="312" w:lineRule="auto"/>
      <w:ind w:firstLineChars="200" w:firstLine="200"/>
    </w:pPr>
    <w:rPr>
      <w:rFonts w:ascii="Times New Roman" w:eastAsia="宋体" w:hAnsi="Times New Roman" w:cs="Times New Roman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>NJU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Shuhua Li</dc:creator>
  <cp:keywords/>
  <dc:description/>
  <cp:lastModifiedBy>Shuhua Li</cp:lastModifiedBy>
  <cp:revision>2</cp:revision>
  <dcterms:created xsi:type="dcterms:W3CDTF">2023-04-17T07:30:00Z</dcterms:created>
  <dcterms:modified xsi:type="dcterms:W3CDTF">2023-04-17T07:30:00Z</dcterms:modified>
</cp:coreProperties>
</file>